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6679"/>
      </w:tblGrid>
      <w:tr w:rsidR="00B60310" w:rsidRPr="00835DD6" w:rsidTr="00AB4C7E">
        <w:tc>
          <w:tcPr>
            <w:tcW w:w="9628" w:type="dxa"/>
            <w:gridSpan w:val="2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EĞİTİM BİLGİLERİ</w:t>
            </w:r>
          </w:p>
        </w:tc>
      </w:tr>
      <w:tr w:rsidR="00B60310" w:rsidRPr="00835DD6" w:rsidTr="00AB4C7E">
        <w:tc>
          <w:tcPr>
            <w:tcW w:w="2689" w:type="dxa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Eğitimin Adı</w:t>
            </w:r>
          </w:p>
        </w:tc>
        <w:tc>
          <w:tcPr>
            <w:tcW w:w="6939" w:type="dxa"/>
          </w:tcPr>
          <w:p w:rsidR="00B60310" w:rsidRPr="00835DD6" w:rsidRDefault="00B60310" w:rsidP="00AB4C7E">
            <w:pPr>
              <w:pStyle w:val="AralkYok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İş sağlığı ve Güvenliği Temel Eğitimi</w:t>
            </w:r>
          </w:p>
        </w:tc>
      </w:tr>
      <w:tr w:rsidR="00B60310" w:rsidRPr="00835DD6" w:rsidTr="00AB4C7E">
        <w:tc>
          <w:tcPr>
            <w:tcW w:w="2689" w:type="dxa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Eğitimi Veren Kuruluş</w:t>
            </w:r>
          </w:p>
        </w:tc>
        <w:tc>
          <w:tcPr>
            <w:tcW w:w="6939" w:type="dxa"/>
          </w:tcPr>
          <w:p w:rsidR="00B60310" w:rsidRPr="00835DD6" w:rsidRDefault="00B60310" w:rsidP="00AB4C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Bartın Üniversitesi İş Sağlığı ve Güvenliği Koordinatörlüğü</w:t>
            </w:r>
          </w:p>
        </w:tc>
      </w:tr>
      <w:tr w:rsidR="00B60310" w:rsidRPr="00835DD6" w:rsidTr="00AB4C7E">
        <w:tc>
          <w:tcPr>
            <w:tcW w:w="2689" w:type="dxa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Eğitimin Tarihi ve Saati</w:t>
            </w:r>
          </w:p>
        </w:tc>
        <w:tc>
          <w:tcPr>
            <w:tcW w:w="6939" w:type="dxa"/>
          </w:tcPr>
          <w:p w:rsidR="00B60310" w:rsidRPr="00835DD6" w:rsidRDefault="00B60310" w:rsidP="00AB4C7E">
            <w:pPr>
              <w:pStyle w:val="AralkYok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… / … / 20… - … : …</w:t>
            </w:r>
          </w:p>
        </w:tc>
      </w:tr>
      <w:tr w:rsidR="00B60310" w:rsidRPr="00835DD6" w:rsidTr="00AB4C7E">
        <w:tc>
          <w:tcPr>
            <w:tcW w:w="2689" w:type="dxa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Eğitim Yeri</w:t>
            </w:r>
          </w:p>
        </w:tc>
        <w:tc>
          <w:tcPr>
            <w:tcW w:w="6939" w:type="dxa"/>
          </w:tcPr>
          <w:p w:rsidR="00B60310" w:rsidRPr="00835DD6" w:rsidRDefault="00B60310" w:rsidP="00AB4C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Uzaktan Eğitim</w:t>
            </w:r>
          </w:p>
        </w:tc>
      </w:tr>
    </w:tbl>
    <w:p w:rsidR="00B60310" w:rsidRPr="00835DD6" w:rsidRDefault="00B60310" w:rsidP="00B6031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B60310" w:rsidRPr="00835DD6" w:rsidTr="00AB4C7E">
        <w:tc>
          <w:tcPr>
            <w:tcW w:w="9628" w:type="dxa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35DD6">
              <w:rPr>
                <w:rFonts w:ascii="Cambria" w:hAnsi="Cambria"/>
                <w:b/>
                <w:color w:val="002060"/>
              </w:rPr>
              <w:t>İŞ SAĞLIĞI VE GÜVENLİĞİ TEMEL EĞİTİMİ KONULARI</w:t>
            </w:r>
          </w:p>
        </w:tc>
      </w:tr>
      <w:tr w:rsidR="00B60310" w:rsidRPr="00835DD6" w:rsidTr="00AB4C7E">
        <w:tc>
          <w:tcPr>
            <w:tcW w:w="9628" w:type="dxa"/>
          </w:tcPr>
          <w:p w:rsidR="00B60310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Çalışma Mevzuatı ile İlgili Bilgiler</w:t>
            </w:r>
          </w:p>
          <w:p w:rsidR="00B60310" w:rsidRPr="0045376A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İş Kazası ve Meslek Hastalığından Doğan Hukuki Sonuçlar</w:t>
            </w:r>
          </w:p>
          <w:p w:rsidR="00B60310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Çalışanların Yasal Hak ve Sorumlulukları</w:t>
            </w:r>
          </w:p>
          <w:p w:rsidR="00B60310" w:rsidRPr="0045376A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İş Sağlığı ve Güvenliği Genel Kuralları ve Güvenlik Kültürü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İşyeri Temizliği ve Düzeni</w:t>
            </w:r>
          </w:p>
          <w:p w:rsidR="00B60310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Meslek Hastalıkları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Biyolojik Risk Etmenleri</w:t>
            </w:r>
          </w:p>
          <w:p w:rsidR="00B60310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proofErr w:type="spellStart"/>
            <w:r w:rsidRPr="00835DD6">
              <w:rPr>
                <w:rFonts w:ascii="Cambria" w:hAnsi="Cambria"/>
              </w:rPr>
              <w:t>Psikososyal</w:t>
            </w:r>
            <w:proofErr w:type="spellEnd"/>
            <w:r w:rsidRPr="00835DD6">
              <w:rPr>
                <w:rFonts w:ascii="Cambria" w:hAnsi="Cambria"/>
              </w:rPr>
              <w:t xml:space="preserve"> Risk Etmenleri</w:t>
            </w:r>
          </w:p>
          <w:p w:rsidR="00B60310" w:rsidRPr="0045376A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Hastalıktan Korunma </w:t>
            </w:r>
            <w:r>
              <w:rPr>
                <w:rFonts w:ascii="Cambria" w:hAnsi="Cambria"/>
              </w:rPr>
              <w:t>Yolları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İlkyardım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Tütün Ürünlerinin Zararları ve Pasif </w:t>
            </w:r>
            <w:proofErr w:type="spellStart"/>
            <w:r w:rsidRPr="00835DD6">
              <w:rPr>
                <w:rFonts w:ascii="Cambria" w:hAnsi="Cambria"/>
              </w:rPr>
              <w:t>Etkilenim</w:t>
            </w:r>
            <w:proofErr w:type="spellEnd"/>
          </w:p>
          <w:p w:rsidR="00B60310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Kimyasal, Fiziksel ve Ergonomik Risk Etmenleri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Elle Kaldırma ve Taşıma</w:t>
            </w:r>
          </w:p>
          <w:p w:rsidR="00B60310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İş Ekipmanlarının Güvenli Kullanımı 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Ekranlı Araçlarla Çalışma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İş Kazalarının Sebepleri ve Korunma Yolları </w:t>
            </w:r>
            <w:r>
              <w:rPr>
                <w:rFonts w:ascii="Cambria" w:hAnsi="Cambria"/>
              </w:rPr>
              <w:t>i</w:t>
            </w:r>
            <w:r w:rsidRPr="00835DD6">
              <w:rPr>
                <w:rFonts w:ascii="Cambria" w:hAnsi="Cambria"/>
              </w:rPr>
              <w:t>le Tekniklerinin Uygulanması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Güvenlik ve Sağlık İşaretleri</w:t>
            </w:r>
          </w:p>
          <w:p w:rsidR="00B60310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Kişisel Koruyucu Donanım Kullanımı 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Elektrik Tehlikeleri Riskleri ve Önlemleri</w:t>
            </w:r>
          </w:p>
          <w:p w:rsidR="00B60310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 xml:space="preserve">Parlama, Patlama, Yangın ve Yangından Korunma </w:t>
            </w:r>
          </w:p>
          <w:p w:rsidR="00B60310" w:rsidRPr="00835DD6" w:rsidRDefault="00B60310" w:rsidP="00B60310">
            <w:pPr>
              <w:pStyle w:val="AralkYok"/>
              <w:numPr>
                <w:ilvl w:val="0"/>
                <w:numId w:val="2"/>
              </w:numPr>
              <w:ind w:left="447" w:hanging="425"/>
              <w:rPr>
                <w:rFonts w:ascii="Cambria" w:hAnsi="Cambria"/>
              </w:rPr>
            </w:pPr>
            <w:r w:rsidRPr="00835DD6">
              <w:rPr>
                <w:rFonts w:ascii="Cambria" w:hAnsi="Cambria"/>
              </w:rPr>
              <w:t>Tahliye ve Kurtarma</w:t>
            </w:r>
          </w:p>
        </w:tc>
      </w:tr>
    </w:tbl>
    <w:p w:rsidR="00B60310" w:rsidRDefault="00B60310" w:rsidP="00B60310">
      <w:pPr>
        <w:pStyle w:val="AralkYok"/>
        <w:rPr>
          <w:rFonts w:ascii="Cambria" w:hAnsi="Cambria"/>
        </w:rPr>
      </w:pPr>
    </w:p>
    <w:p w:rsidR="00B60310" w:rsidRPr="004E4F62" w:rsidRDefault="00B60310" w:rsidP="00B60310">
      <w:pPr>
        <w:pStyle w:val="AralkYok"/>
        <w:jc w:val="both"/>
        <w:rPr>
          <w:rFonts w:ascii="Cambria" w:hAnsi="Cambria"/>
          <w:b/>
        </w:rPr>
      </w:pPr>
      <w:r w:rsidRPr="004E4F62">
        <w:rPr>
          <w:rFonts w:ascii="Cambria" w:hAnsi="Cambria"/>
          <w:b/>
        </w:rPr>
        <w:t>Yukarıda ifade edilen iş sağlığı ve güvenliği temel eğitim konu başlıkları, eğitimci kişi(</w:t>
      </w:r>
      <w:proofErr w:type="spellStart"/>
      <w:r w:rsidRPr="004E4F62">
        <w:rPr>
          <w:rFonts w:ascii="Cambria" w:hAnsi="Cambria"/>
          <w:b/>
        </w:rPr>
        <w:t>ler</w:t>
      </w:r>
      <w:proofErr w:type="spellEnd"/>
      <w:r w:rsidRPr="004E4F62">
        <w:rPr>
          <w:rFonts w:ascii="Cambria" w:hAnsi="Cambria"/>
          <w:b/>
        </w:rPr>
        <w:t xml:space="preserve">) tarafından, belirtilen yer ve tarihte verilen eğitimine katıldım. Eğitime </w:t>
      </w:r>
      <w:r>
        <w:rPr>
          <w:rFonts w:ascii="Cambria" w:hAnsi="Cambria"/>
          <w:b/>
        </w:rPr>
        <w:t>uzaktan eğitim (</w:t>
      </w:r>
      <w:proofErr w:type="gramStart"/>
      <w:r>
        <w:rPr>
          <w:rFonts w:ascii="Cambria" w:hAnsi="Cambria"/>
          <w:b/>
        </w:rPr>
        <w:t>online</w:t>
      </w:r>
      <w:proofErr w:type="gramEnd"/>
      <w:r>
        <w:rPr>
          <w:rFonts w:ascii="Cambria" w:hAnsi="Cambria"/>
          <w:b/>
        </w:rPr>
        <w:t>)</w:t>
      </w:r>
      <w:r w:rsidRPr="004E4F62">
        <w:rPr>
          <w:rFonts w:ascii="Cambria" w:hAnsi="Cambria"/>
          <w:b/>
        </w:rPr>
        <w:t xml:space="preserve"> yolu ile katıldım. Konuları anladım. İşyerinde çalışma esnasında bu kurallara ve sorumluluklara riayet edeceğimi beyan ve kabul ederek işbu eğitime katılım föyünü kendi rızamla isteyerek imzaladım.</w:t>
      </w:r>
    </w:p>
    <w:p w:rsidR="00B60310" w:rsidRPr="00835DD6" w:rsidRDefault="00B60310" w:rsidP="00B6031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3445"/>
        <w:gridCol w:w="3324"/>
        <w:gridCol w:w="1895"/>
      </w:tblGrid>
      <w:tr w:rsidR="00B60310" w:rsidRPr="00835DD6" w:rsidTr="00B60310">
        <w:tc>
          <w:tcPr>
            <w:tcW w:w="9288" w:type="dxa"/>
            <w:gridSpan w:val="4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35DD6">
              <w:rPr>
                <w:rFonts w:ascii="Cambria" w:hAnsi="Cambria"/>
                <w:b/>
                <w:color w:val="002060"/>
              </w:rPr>
              <w:t>EĞİTİME KATILANLARIN</w:t>
            </w:r>
          </w:p>
        </w:tc>
      </w:tr>
      <w:tr w:rsidR="00B60310" w:rsidRPr="00835DD6" w:rsidTr="00B60310">
        <w:trPr>
          <w:trHeight w:val="202"/>
        </w:trPr>
        <w:tc>
          <w:tcPr>
            <w:tcW w:w="624" w:type="dxa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  <w:b/>
                <w:color w:val="215868" w:themeColor="accent5" w:themeShade="80"/>
              </w:rPr>
            </w:pPr>
            <w:r w:rsidRPr="00835DD6">
              <w:rPr>
                <w:rFonts w:ascii="Cambria" w:hAnsi="Cambria"/>
                <w:b/>
                <w:color w:val="215868" w:themeColor="accent5" w:themeShade="80"/>
              </w:rPr>
              <w:t>S/N</w:t>
            </w:r>
          </w:p>
        </w:tc>
        <w:tc>
          <w:tcPr>
            <w:tcW w:w="3445" w:type="dxa"/>
            <w:shd w:val="clear" w:color="auto" w:fill="F2F2F2" w:themeFill="background1" w:themeFillShade="F2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  <w:b/>
                <w:color w:val="215868" w:themeColor="accent5" w:themeShade="80"/>
              </w:rPr>
            </w:pPr>
            <w:r w:rsidRPr="00835DD6">
              <w:rPr>
                <w:rFonts w:ascii="Cambria" w:hAnsi="Cambria"/>
                <w:b/>
                <w:color w:val="215868" w:themeColor="accent5" w:themeShade="80"/>
              </w:rPr>
              <w:t>ADI SOYADI</w:t>
            </w:r>
          </w:p>
        </w:tc>
        <w:tc>
          <w:tcPr>
            <w:tcW w:w="3324" w:type="dxa"/>
            <w:shd w:val="clear" w:color="auto" w:fill="F2F2F2" w:themeFill="background1" w:themeFillShade="F2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  <w:b/>
                <w:color w:val="215868" w:themeColor="accent5" w:themeShade="80"/>
              </w:rPr>
            </w:pPr>
            <w:r w:rsidRPr="00835DD6">
              <w:rPr>
                <w:rFonts w:ascii="Cambria" w:hAnsi="Cambria"/>
                <w:b/>
                <w:color w:val="215868" w:themeColor="accent5" w:themeShade="80"/>
              </w:rPr>
              <w:t>POZİSYONU/GÖREVİ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  <w:b/>
                <w:color w:val="215868" w:themeColor="accent5" w:themeShade="80"/>
              </w:rPr>
            </w:pPr>
            <w:r w:rsidRPr="00835DD6">
              <w:rPr>
                <w:rFonts w:ascii="Cambria" w:hAnsi="Cambria"/>
                <w:b/>
                <w:color w:val="215868" w:themeColor="accent5" w:themeShade="80"/>
              </w:rPr>
              <w:t>İMZASI</w:t>
            </w: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0310" w:rsidRPr="00835DD6" w:rsidTr="00B60310">
        <w:trPr>
          <w:trHeight w:val="630"/>
        </w:trPr>
        <w:tc>
          <w:tcPr>
            <w:tcW w:w="624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445" w:type="dxa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3324" w:type="dxa"/>
            <w:vAlign w:val="center"/>
          </w:tcPr>
          <w:p w:rsidR="00B60310" w:rsidRPr="00835DD6" w:rsidRDefault="00B60310" w:rsidP="00AB4C7E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95" w:type="dxa"/>
            <w:vAlign w:val="center"/>
          </w:tcPr>
          <w:p w:rsidR="00B60310" w:rsidRPr="00835DD6" w:rsidRDefault="00B60310" w:rsidP="00AB4C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2B49C9" w:rsidRPr="00B60310" w:rsidRDefault="002B49C9" w:rsidP="00B60310"/>
    <w:sectPr w:rsidR="002B49C9" w:rsidRPr="00B60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28" w:rsidRDefault="004A6128" w:rsidP="0042138A">
      <w:r>
        <w:separator/>
      </w:r>
    </w:p>
  </w:endnote>
  <w:endnote w:type="continuationSeparator" w:id="0">
    <w:p w:rsidR="004A6128" w:rsidRDefault="004A6128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10" w:rsidRDefault="00B603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10" w:rsidRDefault="00B603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28" w:rsidRDefault="004A6128" w:rsidP="0042138A">
      <w:r>
        <w:separator/>
      </w:r>
    </w:p>
  </w:footnote>
  <w:footnote w:type="continuationSeparator" w:id="0">
    <w:p w:rsidR="004A6128" w:rsidRDefault="004A6128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10" w:rsidRDefault="00B603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Default="00B60310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İŞ SAĞLIĞI VE GÜVENLİĞİEĞİTİMİ</w:t>
          </w:r>
        </w:p>
        <w:p w:rsidR="00B60310" w:rsidRPr="0042138A" w:rsidRDefault="00B60310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KATILIM </w:t>
          </w:r>
          <w:r>
            <w:rPr>
              <w:rFonts w:ascii="Cambria" w:hAnsi="Cambria"/>
              <w:b/>
              <w:sz w:val="22"/>
              <w:szCs w:val="22"/>
            </w:rPr>
            <w:t>FORMU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10" w:rsidRDefault="00B603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4236"/>
    <w:multiLevelType w:val="hybridMultilevel"/>
    <w:tmpl w:val="AE126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4A6128"/>
    <w:rsid w:val="008654A1"/>
    <w:rsid w:val="0090088C"/>
    <w:rsid w:val="00935AB7"/>
    <w:rsid w:val="00B60310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2021-08-25T08:50:00Z</dcterms:modified>
</cp:coreProperties>
</file>